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B1F" w:rsidRDefault="00260B1F">
      <w:pPr>
        <w:rPr>
          <w:rFonts w:ascii="Arial" w:hAnsi="Arial" w:cs="Arial"/>
          <w:color w:val="0C0C0F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C0C0F"/>
          <w:sz w:val="26"/>
          <w:szCs w:val="26"/>
          <w:shd w:val="clear" w:color="auto" w:fill="FFFFFF"/>
        </w:rPr>
        <w:t>Decreto-legge n. 133 del 12 settembre 2014 detto ''Sblocca Italia''</w:t>
      </w:r>
    </w:p>
    <w:p w:rsidR="00260B1F" w:rsidRDefault="00260B1F" w:rsidP="00260B1F">
      <w:pPr>
        <w:jc w:val="both"/>
        <w:rPr>
          <w:rFonts w:ascii="Calibri" w:eastAsia="Calibri" w:hAnsi="Calibri" w:cs="Times New Roman"/>
          <w:i/>
        </w:rPr>
      </w:pPr>
      <w:r>
        <w:rPr>
          <w:rFonts w:ascii="Arial" w:hAnsi="Arial" w:cs="Arial"/>
          <w:color w:val="0C0C0F"/>
          <w:sz w:val="26"/>
          <w:szCs w:val="26"/>
          <w:shd w:val="clear" w:color="auto" w:fill="FFFFFF"/>
        </w:rPr>
        <w:t xml:space="preserve"> Coordinato con la Legge di conversione (</w:t>
      </w:r>
      <w:hyperlink r:id="rId4" w:history="1">
        <w:r w:rsidRPr="00260B1F">
          <w:rPr>
            <w:rFonts w:ascii="Arial" w:hAnsi="Arial" w:cs="Arial"/>
            <w:color w:val="0C0C0F"/>
            <w:sz w:val="26"/>
            <w:szCs w:val="26"/>
            <w:shd w:val="clear" w:color="auto" w:fill="FFFFFF"/>
          </w:rPr>
          <w:t>Legge 11 novembre 2014, n. 164</w:t>
        </w:r>
      </w:hyperlink>
      <w:r>
        <w:rPr>
          <w:rFonts w:ascii="Arial" w:hAnsi="Arial" w:cs="Arial"/>
          <w:color w:val="0C0C0F"/>
          <w:sz w:val="26"/>
          <w:szCs w:val="26"/>
          <w:shd w:val="clear" w:color="auto" w:fill="FFFFFF"/>
        </w:rPr>
        <w:t>), recante "Misure urgenti per l'apertura dei cantieri, la realizzazione delle opere pubbliche, la digitalizzazione del Paese, la semplificazione burocratica, l'emergenza del dissesto idrogeologico e per la ripresa delle attività' produttive", pubblicato nella Gazzetta Ufficiale n. 262 dell'11 novembre 2014.</w:t>
      </w:r>
    </w:p>
    <w:p w:rsidR="00B00DFC" w:rsidRDefault="00B00DFC" w:rsidP="00260B1F">
      <w:pPr>
        <w:jc w:val="center"/>
        <w:rPr>
          <w:rFonts w:ascii="Arial" w:hAnsi="Arial" w:cs="Arial"/>
          <w:color w:val="0C0C0F"/>
          <w:sz w:val="26"/>
          <w:szCs w:val="26"/>
          <w:shd w:val="clear" w:color="auto" w:fill="FFFFFF"/>
        </w:rPr>
      </w:pPr>
    </w:p>
    <w:p w:rsidR="00260B1F" w:rsidRPr="00260B1F" w:rsidRDefault="00260B1F" w:rsidP="00260B1F">
      <w:pPr>
        <w:jc w:val="center"/>
        <w:rPr>
          <w:rFonts w:ascii="Arial" w:hAnsi="Arial" w:cs="Arial"/>
          <w:color w:val="0C0C0F"/>
          <w:sz w:val="26"/>
          <w:szCs w:val="26"/>
          <w:shd w:val="clear" w:color="auto" w:fill="FFFFFF"/>
        </w:rPr>
      </w:pPr>
      <w:r w:rsidRPr="00260B1F">
        <w:rPr>
          <w:rFonts w:ascii="Arial" w:hAnsi="Arial" w:cs="Arial"/>
          <w:color w:val="0C0C0F"/>
          <w:sz w:val="26"/>
          <w:szCs w:val="26"/>
          <w:shd w:val="clear" w:color="auto" w:fill="FFFFFF"/>
        </w:rPr>
        <w:t>Capo III</w:t>
      </w:r>
    </w:p>
    <w:p w:rsidR="00260B1F" w:rsidRPr="00260B1F" w:rsidRDefault="00260B1F" w:rsidP="00260B1F">
      <w:pPr>
        <w:jc w:val="both"/>
        <w:rPr>
          <w:rFonts w:ascii="Arial" w:hAnsi="Arial" w:cs="Arial"/>
          <w:color w:val="0C0C0F"/>
          <w:sz w:val="26"/>
          <w:szCs w:val="26"/>
          <w:shd w:val="clear" w:color="auto" w:fill="FFFFFF"/>
        </w:rPr>
      </w:pPr>
    </w:p>
    <w:p w:rsidR="00260B1F" w:rsidRPr="00260B1F" w:rsidRDefault="00260B1F" w:rsidP="00260B1F">
      <w:pPr>
        <w:jc w:val="both"/>
        <w:rPr>
          <w:rFonts w:ascii="Arial" w:hAnsi="Arial" w:cs="Arial"/>
          <w:b/>
          <w:color w:val="0C0C0F"/>
          <w:sz w:val="26"/>
          <w:szCs w:val="26"/>
          <w:shd w:val="clear" w:color="auto" w:fill="FFFFFF"/>
        </w:rPr>
      </w:pPr>
      <w:r w:rsidRPr="00260B1F">
        <w:rPr>
          <w:rFonts w:ascii="Arial" w:hAnsi="Arial" w:cs="Arial"/>
          <w:b/>
          <w:color w:val="0C0C0F"/>
          <w:sz w:val="26"/>
          <w:szCs w:val="26"/>
          <w:shd w:val="clear" w:color="auto" w:fill="FFFFFF"/>
        </w:rPr>
        <w:t>Misure urgenti in materia ambientale e per la mitigazione del dissesto idrogeologico</w:t>
      </w:r>
    </w:p>
    <w:p w:rsidR="00260B1F" w:rsidRPr="00260B1F" w:rsidRDefault="00260B1F" w:rsidP="00260B1F">
      <w:pPr>
        <w:jc w:val="both"/>
        <w:rPr>
          <w:rFonts w:ascii="Arial" w:hAnsi="Arial" w:cs="Arial"/>
          <w:color w:val="0C0C0F"/>
          <w:sz w:val="26"/>
          <w:szCs w:val="26"/>
          <w:shd w:val="clear" w:color="auto" w:fill="FFFFFF"/>
        </w:rPr>
      </w:pPr>
    </w:p>
    <w:p w:rsidR="00260B1F" w:rsidRPr="00260B1F" w:rsidRDefault="00260B1F" w:rsidP="00260B1F">
      <w:pPr>
        <w:jc w:val="both"/>
        <w:rPr>
          <w:rFonts w:ascii="Arial" w:hAnsi="Arial" w:cs="Arial"/>
          <w:color w:val="0C0C0F"/>
          <w:sz w:val="26"/>
          <w:szCs w:val="26"/>
          <w:shd w:val="clear" w:color="auto" w:fill="FFFFFF"/>
        </w:rPr>
      </w:pPr>
      <w:r w:rsidRPr="00260B1F">
        <w:rPr>
          <w:rFonts w:ascii="Arial" w:hAnsi="Arial" w:cs="Arial"/>
          <w:color w:val="0C0C0F"/>
          <w:sz w:val="26"/>
          <w:szCs w:val="26"/>
          <w:shd w:val="clear" w:color="auto" w:fill="FFFFFF"/>
        </w:rPr>
        <w:t>Art. 7</w:t>
      </w:r>
    </w:p>
    <w:p w:rsidR="00DA3C9F" w:rsidRDefault="00260B1F" w:rsidP="00260B1F">
      <w:pPr>
        <w:jc w:val="both"/>
        <w:rPr>
          <w:rFonts w:ascii="Arial" w:hAnsi="Arial" w:cs="Arial"/>
          <w:color w:val="0C0C0F"/>
          <w:sz w:val="26"/>
          <w:szCs w:val="26"/>
          <w:shd w:val="clear" w:color="auto" w:fill="FFFFFF"/>
        </w:rPr>
      </w:pPr>
      <w:r w:rsidRPr="00260B1F">
        <w:rPr>
          <w:rFonts w:ascii="Arial" w:hAnsi="Arial" w:cs="Arial"/>
          <w:color w:val="0C0C0F"/>
          <w:sz w:val="26"/>
          <w:szCs w:val="26"/>
          <w:shd w:val="clear" w:color="auto" w:fill="FFFFFF"/>
        </w:rPr>
        <w:t xml:space="preserve">Norme in materia di gestione di risorse idriche. Modifiche urgenti al decreto legislativo 3 aprile 2006, n. 152, per il superamento delle procedure di infrazione 2014/2059, 2004/2034 e 2009/2034, sentenze C-565-10 del 19 luglio 2012 e C-85-13 del 10 aprile 2014; norme di accelerazione degli interventi per la mitigazione del rischio idrogeologico e per l'adeguamento dei sistemi di </w:t>
      </w:r>
      <w:proofErr w:type="spellStart"/>
      <w:r w:rsidRPr="00260B1F">
        <w:rPr>
          <w:rFonts w:ascii="Arial" w:hAnsi="Arial" w:cs="Arial"/>
          <w:color w:val="0C0C0F"/>
          <w:sz w:val="26"/>
          <w:szCs w:val="26"/>
          <w:shd w:val="clear" w:color="auto" w:fill="FFFFFF"/>
        </w:rPr>
        <w:t>collettamento</w:t>
      </w:r>
      <w:proofErr w:type="spellEnd"/>
      <w:r w:rsidRPr="00260B1F">
        <w:rPr>
          <w:rFonts w:ascii="Arial" w:hAnsi="Arial" w:cs="Arial"/>
          <w:color w:val="0C0C0F"/>
          <w:sz w:val="26"/>
          <w:szCs w:val="26"/>
          <w:shd w:val="clear" w:color="auto" w:fill="FFFFFF"/>
        </w:rPr>
        <w:t>, fognatura e depurazione degli agglomerati urbani; finanziamento di opere urgenti di sistemazione idraulica dei corsi d'acqua nelle aree metropolitane interessate da fenomeni di esondazione e alluvione</w:t>
      </w:r>
      <w:r>
        <w:rPr>
          <w:rFonts w:ascii="Arial" w:hAnsi="Arial" w:cs="Arial"/>
          <w:color w:val="0C0C0F"/>
          <w:sz w:val="26"/>
          <w:szCs w:val="26"/>
          <w:shd w:val="clear" w:color="auto" w:fill="FFFFFF"/>
        </w:rPr>
        <w:t>.</w:t>
      </w:r>
    </w:p>
    <w:p w:rsidR="00B00DFC" w:rsidRDefault="00B00DFC" w:rsidP="00260B1F">
      <w:pPr>
        <w:jc w:val="both"/>
        <w:rPr>
          <w:rFonts w:ascii="Arial" w:hAnsi="Arial" w:cs="Arial"/>
          <w:color w:val="0C0C0F"/>
          <w:sz w:val="26"/>
          <w:szCs w:val="26"/>
          <w:shd w:val="clear" w:color="auto" w:fill="FFFFFF"/>
        </w:rPr>
      </w:pPr>
    </w:p>
    <w:p w:rsidR="00260B1F" w:rsidRPr="00260B1F" w:rsidRDefault="00260B1F" w:rsidP="00260B1F">
      <w:pPr>
        <w:jc w:val="both"/>
        <w:rPr>
          <w:rFonts w:ascii="Arial" w:hAnsi="Arial" w:cs="Arial"/>
          <w:color w:val="0C0C0F"/>
          <w:sz w:val="26"/>
          <w:szCs w:val="26"/>
          <w:shd w:val="clear" w:color="auto" w:fill="FFFFFF"/>
        </w:rPr>
      </w:pPr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t xml:space="preserve">2. </w:t>
      </w:r>
      <w:r w:rsidRPr="00B00DFC">
        <w:rPr>
          <w:rFonts w:ascii="Tahoma" w:hAnsi="Tahoma" w:cs="Tahoma"/>
          <w:color w:val="0C0C0F"/>
          <w:sz w:val="26"/>
          <w:szCs w:val="26"/>
          <w:u w:val="single"/>
          <w:shd w:val="clear" w:color="auto" w:fill="FFFFFF"/>
        </w:rPr>
        <w:t>A partire dalla programmazione 2015 le risorse destinate al finanziamento degli interventi in materia di mitigazione del rischio idrogeologico</w:t>
      </w:r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t xml:space="preserve"> sono utilizzate tramite accordo di programma sottoscritto dalla Regione interessata e dal Ministero dell'ambiente e della tutela del territorio e del mare, che definisce </w:t>
      </w:r>
      <w:proofErr w:type="spellStart"/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t>altresi'</w:t>
      </w:r>
      <w:proofErr w:type="spellEnd"/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t xml:space="preserve"> la quota di cofinanziamento regionale. Gli interventi sono individuati con decreto del Presidente del Consiglio dei ministri su proposta del Ministro dell'ambiente e della tutela del territorio e del mare. Le risorse sono prioritariamente destinate agli interventi integrati, finalizzati sia alla mitigazione del rischio sia alla tutela e al recupero degli ecosistemi e della </w:t>
      </w:r>
      <w:proofErr w:type="spellStart"/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t>biodiversita'</w:t>
      </w:r>
      <w:proofErr w:type="spellEnd"/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t xml:space="preserve">, ovvero che integrino gli obiettivi della direttiva 2000/60/CE del Parlamento europeo e del Consiglio, del 23 ottobre 2000, che istituisce un quadro per l'azione comunitaria in materia di acque, e della direttiva 2007/60/CE del Parlamento europeo e del Consiglio, del 23 ottobre 2007, relativa alla valutazione e alla gestione dei rischi di alluvioni. In particolare, gli </w:t>
      </w:r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lastRenderedPageBreak/>
        <w:t xml:space="preserve">interventi sul reticolo idrografico non devono alterare ulteriormente l'equilibrio sedimentario dei corsi d'acqua, </w:t>
      </w:r>
      <w:proofErr w:type="spellStart"/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t>bensi'</w:t>
      </w:r>
      <w:proofErr w:type="spellEnd"/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t xml:space="preserve"> tendere ovunque possibile a ripristinarlo, sulla base di adeguati bilanci del trasporto solido a scala spaziale e temporale adeguata. A questo tipo di interventi integrati, in grado di garantire contestualmente la riduzione del rischio idrogeologico e il miglioramento dello stato ecologico dei corsi d'acqua e la tutela degli ecosistemi e della </w:t>
      </w:r>
      <w:proofErr w:type="spellStart"/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t>biodiversita'</w:t>
      </w:r>
      <w:proofErr w:type="spellEnd"/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t xml:space="preserve">, in ciascun accordo di programma deve essere destinata una percentuale minima del 20 per cento delle risorse. Nei suddetti interventi assume </w:t>
      </w:r>
      <w:proofErr w:type="spellStart"/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t>priorita'</w:t>
      </w:r>
      <w:proofErr w:type="spellEnd"/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t xml:space="preserve"> la delocalizzazione di edifici e di infrastrutture potenzialmente pericolosi per la pubblica </w:t>
      </w:r>
      <w:proofErr w:type="spellStart"/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t>incolumita'</w:t>
      </w:r>
      <w:proofErr w:type="spellEnd"/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t xml:space="preserve">. L'attuazione degli interventi e' assicurata dal Presidente della Regione in </w:t>
      </w:r>
      <w:proofErr w:type="spellStart"/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t>qualita'</w:t>
      </w:r>
      <w:proofErr w:type="spellEnd"/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t xml:space="preserve"> di Commissario di Governo contro il dissesto idrogeologico con i compiti, le </w:t>
      </w:r>
      <w:proofErr w:type="spellStart"/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t>modalita'</w:t>
      </w:r>
      <w:proofErr w:type="spellEnd"/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t xml:space="preserve">, la </w:t>
      </w:r>
      <w:proofErr w:type="spellStart"/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t>contabilita'</w:t>
      </w:r>
      <w:proofErr w:type="spellEnd"/>
      <w:r>
        <w:rPr>
          <w:rFonts w:ascii="Tahoma" w:hAnsi="Tahoma" w:cs="Tahoma"/>
          <w:color w:val="0C0C0F"/>
          <w:sz w:val="26"/>
          <w:szCs w:val="26"/>
          <w:shd w:val="clear" w:color="auto" w:fill="FFFFFF"/>
        </w:rPr>
        <w:t xml:space="preserve"> speciale e i poteri di cui all'articolo 10 del decreto-legge 24 giugno 2014, n. 91, convertito, con modificazioni, dalla legge 11 agosto 2014, n. 116.</w:t>
      </w:r>
    </w:p>
    <w:sectPr w:rsidR="00260B1F" w:rsidRPr="00260B1F" w:rsidSect="00DA3C9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260B1F"/>
    <w:rsid w:val="00260B1F"/>
    <w:rsid w:val="00B00DFC"/>
    <w:rsid w:val="00DA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A3C9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260B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ltalex.com/documents/leggi/2014/11/13/sblocca-italia-la-legge-di-conversione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Bastiani</dc:creator>
  <cp:lastModifiedBy>Massimo Bastiani</cp:lastModifiedBy>
  <cp:revision>1</cp:revision>
  <dcterms:created xsi:type="dcterms:W3CDTF">2016-07-04T08:51:00Z</dcterms:created>
  <dcterms:modified xsi:type="dcterms:W3CDTF">2016-07-04T09:02:00Z</dcterms:modified>
</cp:coreProperties>
</file>